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/>
        <w:jc w:val="both"/>
        <w:keepLines w:val="0"/>
        <w:keepNext w:val="0"/>
        <w:spacing w:before="0" w:beforeAutospacing="0" w:after="192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pBdr>
          <w:bottom w:val="none" w:color="0A0A0A" w:sz="0" w:space="0"/>
        </w:pBdr>
        <w:suppressLineNumbers w:val="0"/>
      </w:pP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t xml:space="preserve">        Уважаемые родители и обучающиеся.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</w:r>
    </w:p>
    <w:p>
      <w:pPr>
        <w:ind w:left="0" w:right="0"/>
        <w:jc w:val="both"/>
        <w:keepLines w:val="0"/>
        <w:keepNext w:val="0"/>
        <w:spacing w:before="0" w:beforeAutospacing="0" w:after="192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pBdr>
          <w:bottom w:val="none" w:color="0A0A0A" w:sz="0" w:space="0"/>
        </w:pBdr>
        <w:suppressLineNumbers w:val="0"/>
      </w:pP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t xml:space="preserve"> В</w:t>
      </w:r>
      <w:bookmarkStart w:id="0" w:name="_GoBack"/>
      <w:r/>
      <w:bookmarkEnd w:id="0"/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t xml:space="preserve"> Дальнереченском городском округе </w:t>
      </w: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en-US" w:eastAsia="zh-CN" w:bidi="ar"/>
        </w:rPr>
        <w:t xml:space="preserve">с 3 по 25 сентября 2026 год</w:t>
      </w: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 w:eastAsia="zh-CN" w:bidi="ar"/>
        </w:rPr>
        <w:t xml:space="preserve">а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t xml:space="preserve">пройдёт д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en-US" w:eastAsia="zh-CN" w:bidi="ar"/>
        </w:rPr>
        <w:t xml:space="preserve">ополнительный (сентябрьский) период государственной итоговой аттестации (ГИА-9 и ГИА-11) в 2026 году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  <w:t xml:space="preserve">.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 w:eastAsia="zh-CN" w:bidi="ar"/>
        </w:rPr>
      </w:r>
    </w:p>
    <w:p>
      <w:pPr>
        <w:numPr>
          <w:ilvl w:val="0"/>
          <w:numId w:val="1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/>
        </w:rPr>
        <w:t xml:space="preserve">ГИА-9 (ОГЭ/ГВЭ-9):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 дополнительные дни пройдут с 3 по 25 сентября 2026 года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экзамен по математике запланирован на 3 сентября,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по русскому языку — на 7 сентября.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numPr>
          <w:ilvl w:val="0"/>
          <w:numId w:val="1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/>
        </w:rPr>
        <w:t xml:space="preserve">ГИА-11 (ЕГЭ/ГВЭ-11):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 дополнительный период установлен с 4 по 25 сентября 2026 года, включая резервный день 25 сентября.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ind w:left="0" w:right="0"/>
        <w:jc w:val="both"/>
        <w:keepLines w:val="0"/>
        <w:keepNext w:val="0"/>
        <w:spacing w:before="288" w:beforeAutospacing="0" w:after="144" w:afterAutospacing="0"/>
        <w:widowControl/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 w:eastAsia="zh-CN" w:bidi="ar"/>
        </w:rPr>
        <w:pBdr>
          <w:bottom w:val="none" w:color="001D35" w:sz="0" w:space="0"/>
        </w:pBdr>
        <w:suppressLineNumbers w:val="0"/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en-US" w:eastAsia="zh-CN" w:bidi="ar"/>
        </w:rPr>
        <w:t xml:space="preserve">Особенности проведения</w:t>
      </w:r>
      <w:r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 w:eastAsia="zh-CN" w:bidi="ar"/>
        </w:rPr>
        <w:t xml:space="preserve"> дополнительных сроков:</w:t>
      </w:r>
      <w:r>
        <w:rPr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 w:eastAsia="zh-CN" w:bidi="ar"/>
        </w:rPr>
      </w:r>
    </w:p>
    <w:p>
      <w:pPr>
        <w:ind w:left="0" w:right="0"/>
        <w:jc w:val="both"/>
        <w:keepLines w:val="0"/>
        <w:keepNext w:val="0"/>
        <w:spacing w:before="288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01D35" w:sz="0" w:space="0"/>
        </w:pBdr>
        <w:suppressLineNumbers w:val="0"/>
      </w:pP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/>
        </w:rPr>
        <w:t xml:space="preserve">Цель этапа: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 пересдача основных предметов (русский язык и математика) для получения аттестата.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numPr>
          <w:ilvl w:val="0"/>
          <w:numId w:val="2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/>
        </w:rPr>
        <w:t xml:space="preserve">Сроки проверки: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 обработка и проверка экзаменационных работ в дополнительный период занимают не более 5 календарных дней.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numPr>
          <w:ilvl w:val="0"/>
          <w:numId w:val="2"/>
        </w:numPr>
        <w:ind w:left="0" w:right="0" w:hanging="360"/>
        <w:jc w:val="both"/>
        <w:keepLines w:val="0"/>
        <w:keepNext w:val="0"/>
        <w:spacing w:before="0" w:beforeAutospacing="0" w:after="144" w:afterAutospacing="0"/>
        <w:widowControl/>
        <w:rPr>
          <w:rFonts w:hint="default" w:ascii="Times New Roman" w:hAnsi="Times New Roman" w:eastAsia="Arial" w:cs="Times New Roman"/>
          <w:sz w:val="28"/>
          <w:szCs w:val="28"/>
          <w:u w:val="none"/>
        </w:rPr>
        <w:pBdr>
          <w:bottom w:val="none" w:color="0A0A0A" w:sz="0" w:space="0"/>
        </w:pBdr>
        <w:suppressLineNumbers w:val="0"/>
      </w:pPr>
      <w:r>
        <w:rPr>
          <w:rStyle w:val="627"/>
          <w:rFonts w:hint="default" w:ascii="Times New Roman" w:hAnsi="Times New Roman" w:eastAsia="Arial" w:cs="Times New Roman"/>
          <w:b/>
          <w:bCs/>
          <w:sz w:val="28"/>
          <w:szCs w:val="28"/>
          <w:u w:val="none"/>
          <w:lang w:val="ru-RU"/>
        </w:rPr>
        <w:t xml:space="preserve">Последствия:</w:t>
      </w:r>
      <w:r>
        <w:rPr>
          <w:rFonts w:hint="default" w:ascii="Times New Roman" w:hAnsi="Times New Roman" w:eastAsia="Arial" w:cs="Times New Roman"/>
          <w:sz w:val="28"/>
          <w:szCs w:val="28"/>
          <w:u w:val="none"/>
          <w:lang w:val="ru-RU"/>
        </w:rPr>
        <w:t xml:space="preserve"> в случае повторной неудачи по двум обязательным предметам либо неблагоприятного исхода в резервный день сентября, выпускники смогут пересдать экзамены только в следующем учебном году. </w:t>
      </w:r>
      <w:r>
        <w:rPr>
          <w:rFonts w:hint="default" w:ascii="Times New Roman" w:hAnsi="Times New Roman" w:eastAsia="Arial" w:cs="Times New Roman"/>
          <w:sz w:val="28"/>
          <w:szCs w:val="28"/>
          <w:u w:val="none"/>
        </w:rPr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</w:r>
      <w:r>
        <w:rPr>
          <w:rFonts w:hint="default"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Liberation Sans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 w:cs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hint="default" w:ascii="Courier New" w:hAnsi="Courier New" w:cs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hint="default" w:ascii="Wingdings" w:hAnsi="Wingdings" w:cs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 w:cs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 w:cs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 w:cs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 w:cs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 w:cs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3"/>
    <w:next w:val="62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4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3"/>
    <w:next w:val="62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4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3"/>
    <w:next w:val="62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3"/>
    <w:next w:val="62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3"/>
    <w:next w:val="62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3"/>
    <w:next w:val="62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3"/>
    <w:next w:val="62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3"/>
    <w:next w:val="62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3"/>
    <w:next w:val="62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3"/>
    <w:next w:val="62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4"/>
    <w:link w:val="35"/>
    <w:uiPriority w:val="10"/>
    <w:rPr>
      <w:sz w:val="48"/>
      <w:szCs w:val="48"/>
    </w:rPr>
  </w:style>
  <w:style w:type="paragraph" w:styleId="37">
    <w:name w:val="Subtitle"/>
    <w:basedOn w:val="623"/>
    <w:next w:val="62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4"/>
    <w:link w:val="37"/>
    <w:uiPriority w:val="11"/>
    <w:rPr>
      <w:sz w:val="24"/>
      <w:szCs w:val="24"/>
    </w:rPr>
  </w:style>
  <w:style w:type="paragraph" w:styleId="39">
    <w:name w:val="Quote"/>
    <w:basedOn w:val="623"/>
    <w:next w:val="62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3"/>
    <w:next w:val="62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4"/>
    <w:link w:val="43"/>
    <w:uiPriority w:val="99"/>
  </w:style>
  <w:style w:type="paragraph" w:styleId="45">
    <w:name w:val="Footer"/>
    <w:basedOn w:val="62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4"/>
    <w:link w:val="45"/>
    <w:uiPriority w:val="99"/>
  </w:style>
  <w:style w:type="paragraph" w:styleId="47">
    <w:name w:val="Caption"/>
    <w:basedOn w:val="623"/>
    <w:next w:val="62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4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3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be4f4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be4f4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blStylePr w:type="band1Horz">
      <w:tcPr>
        <w:shd w:val="clear" w:color="ffffff" w:themeColor="accent1" w:themeTint="75" w:fill="aac0e7" w:themeFill="accent1" w:themeFillTint="75"/>
      </w:tcPr>
    </w:tblStylePr>
    <w:tblStylePr w:type="band1Vert">
      <w:tcPr>
        <w:shd w:val="clear" w:color="ffffff" w:themeColor="accent1" w:themeTint="75" w:fill="aac0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blStylePr w:type="band1Horz">
      <w:tcPr>
        <w:shd w:val="clear" w:color="ffffff" w:themeColor="accent2" w:themeTint="75" w:fill="f7c49e" w:themeFill="accent2" w:themeFillTint="75"/>
      </w:tcPr>
    </w:tblStylePr>
    <w:tblStylePr w:type="band1Vert">
      <w:tcPr>
        <w:shd w:val="clear" w:color="ffffff" w:themeColor="accent2" w:themeTint="75" w:fill="f7c49e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blStylePr w:type="band1Horz">
      <w:tcPr>
        <w:shd w:val="clear" w:color="ffffff" w:themeColor="accent3" w:themeTint="75" w:fill="fde086" w:themeFill="accent3" w:themeFillTint="75"/>
      </w:tcPr>
    </w:tblStylePr>
    <w:tblStylePr w:type="band1Vert">
      <w:tcPr>
        <w:shd w:val="clear" w:color="ffffff" w:themeColor="accent3" w:themeTint="75" w:fill="fde08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blStylePr w:type="band1Horz">
      <w:tcPr>
        <w:shd w:val="clear" w:color="ffffff" w:themeColor="accent4" w:themeTint="75" w:fill="bfe0a7" w:themeFill="accent4" w:themeFillTint="75"/>
      </w:tcPr>
    </w:tblStylePr>
    <w:tblStylePr w:type="band1Vert">
      <w:tcPr>
        <w:shd w:val="clear" w:color="ffffff" w:themeColor="accent4" w:themeTint="75" w:fill="bfe0a7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blStylePr w:type="band1Horz">
      <w:tcPr>
        <w:shd w:val="clear" w:color="ffffff" w:themeColor="accent5" w:themeTint="75" w:fill="9be6de" w:themeFill="accent5" w:themeFillTint="75"/>
      </w:tcPr>
    </w:tblStylePr>
    <w:tblStylePr w:type="band1Vert">
      <w:tcPr>
        <w:shd w:val="clear" w:color="ffffff" w:themeColor="accent5" w:themeTint="75" w:fill="9be6de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blStylePr w:type="band1Horz">
      <w:tcPr>
        <w:shd w:val="clear" w:color="ffffff" w:themeColor="accent6" w:themeTint="75" w:fill="f3acb5" w:themeFill="accent6" w:themeFillTint="75"/>
      </w:tcPr>
    </w:tblStylePr>
    <w:tblStylePr w:type="band1Vert">
      <w:tcPr>
        <w:shd w:val="clear" w:color="ffffff" w:themeColor="accent6" w:themeTint="75" w:fill="f3acb5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tcPr>
        <w:shd w:val="clear" w:color="ffffff" w:themeColor="accent1" w:themeTint="34" w:fill="d9e3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362b0" w:themeColor="accent1" w:themeTint="80" w:themeShade="95"/>
      </w:rPr>
    </w:tblStylePr>
    <w:tblStylePr w:type="firstRow">
      <w:rPr>
        <w:b/>
        <w:color w:val="3362b0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</w:tblStylePr>
    <w:tblStylePr w:type="lastRow">
      <w:rPr>
        <w:b/>
        <w:color w:val="3362b0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tcPr>
        <w:shd w:val="clear" w:color="ffffff" w:themeColor="accent2" w:themeTint="32" w:fill="fbe6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85f11" w:themeColor="accent2" w:themeTint="97" w:themeShade="95"/>
      </w:rPr>
    </w:tblStylePr>
    <w:tblStylePr w:type="firstRow">
      <w:rPr>
        <w:b/>
        <w:color w:val="c85f11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</w:tblStylePr>
    <w:tblStylePr w:type="lastRow">
      <w:rPr>
        <w:b/>
        <w:color w:val="c85f11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tcPr>
        <w:shd w:val="clear" w:color="ffffff" w:themeColor="accent3" w:themeTint="34" w:fill="fef1c9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8c6a01" w:themeColor="accent3" w:themeTint="FE" w:themeShade="95"/>
      </w:rPr>
    </w:tblStylePr>
    <w:tblStylePr w:type="firstRow">
      <w:rPr>
        <w:b/>
        <w:color w:val="8c6a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</w:tblStylePr>
    <w:tblStylePr w:type="lastRow">
      <w:rPr>
        <w:b/>
        <w:color w:val="8c6a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tcPr>
        <w:shd w:val="clear" w:color="ffffff" w:themeColor="accent4" w:themeTint="34" w:fill="e3f1d8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19835" w:themeColor="accent4" w:themeTint="9A" w:themeShade="95"/>
      </w:rPr>
    </w:tblStylePr>
    <w:tblStylePr w:type="firstRow">
      <w:rPr>
        <w:b/>
        <w:color w:val="619835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</w:tblStylePr>
    <w:tblStylePr w:type="lastRow">
      <w:rPr>
        <w:b/>
        <w:color w:val="619835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tcPr>
        <w:shd w:val="clear" w:color="ffffff" w:themeColor="accent5" w:themeTint="34" w:fill="d2f3f0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1c7067" w:themeColor="accent5" w:themeShade="95"/>
      </w:rPr>
    </w:tblStylePr>
    <w:tblStylePr w:type="firstRow">
      <w:rPr>
        <w:b/>
        <w:color w:val="1c706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</w:tblStylePr>
    <w:tblStylePr w:type="lastRow">
      <w:rPr>
        <w:b/>
        <w:color w:val="1c706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tcPr>
        <w:shd w:val="clear" w:color="ffffff" w:themeColor="accent6" w:themeTint="34" w:fill="f9dade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1c7067" w:themeColor="accent5" w:themeShade="95"/>
      </w:rPr>
    </w:tblStylePr>
    <w:tblStylePr w:type="firstRow">
      <w:rPr>
        <w:b/>
        <w:color w:val="1c706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</w:tblStylePr>
    <w:tblStylePr w:type="lastRow">
      <w:rPr>
        <w:b/>
        <w:color w:val="1c706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362b0" w:themeColor="accent1" w:themeTint="80" w:themeShade="95"/>
        <w:sz w:val="22"/>
      </w:rPr>
      <w:tcPr>
        <w:shd w:val="clear" w:color="ffffff" w:themeColor="accent1" w:themeTint="34" w:fill="d9e3f4" w:themeFill="accent1" w:themeFillTint="34"/>
      </w:tcPr>
    </w:tblStylePr>
    <w:tblStylePr w:type="band1Vert">
      <w:tcPr>
        <w:shd w:val="clear" w:color="ffffff" w:themeColor="accent1" w:themeTint="34" w:fill="d9e3f4" w:themeFill="accent1" w:themeFillTint="34"/>
      </w:tcPr>
    </w:tblStylePr>
    <w:tblStylePr w:type="band2Horz">
      <w:rPr>
        <w:rFonts w:ascii="Liberation Sans" w:hAnsi="Liberation Sans"/>
        <w:color w:val="3362b0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362b0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362b0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62b0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362b0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85f11" w:themeColor="accent2" w:themeTint="97" w:themeShade="95"/>
        <w:sz w:val="22"/>
      </w:rPr>
      <w:tcPr>
        <w:shd w:val="clear" w:color="ffffff" w:themeColor="accent2" w:themeTint="32" w:fill="fbe6d6" w:themeFill="accent2" w:themeFillTint="32"/>
      </w:tcPr>
    </w:tblStylePr>
    <w:tblStylePr w:type="band1Vert">
      <w:tcPr>
        <w:shd w:val="clear" w:color="ffffff" w:themeColor="accent2" w:themeTint="32" w:fill="fbe6d6" w:themeFill="accent2" w:themeFillTint="32"/>
      </w:tcPr>
    </w:tblStylePr>
    <w:tblStylePr w:type="band2Horz">
      <w:rPr>
        <w:rFonts w:ascii="Liberation Sans" w:hAnsi="Liberation Sans"/>
        <w:color w:val="c85f11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85f11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85f11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8c6a01" w:themeColor="accent3" w:themeTint="FE" w:themeShade="95"/>
        <w:sz w:val="22"/>
      </w:rPr>
      <w:tcPr>
        <w:shd w:val="clear" w:color="ffffff" w:themeColor="accent3" w:themeTint="34" w:fill="fef1c9" w:themeFill="accent3" w:themeFillTint="34"/>
      </w:tcPr>
    </w:tblStylePr>
    <w:tblStylePr w:type="band1Vert">
      <w:tcPr>
        <w:shd w:val="clear" w:color="ffffff" w:themeColor="accent3" w:themeTint="34" w:fill="fef1c9" w:themeFill="accent3" w:themeFillTint="34"/>
      </w:tcPr>
    </w:tblStylePr>
    <w:tblStylePr w:type="band2Horz">
      <w:rPr>
        <w:rFonts w:ascii="Liberation Sans" w:hAnsi="Liberation Sans"/>
        <w:color w:val="8c6a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8c6a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8c6a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8c6a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8c6a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19835" w:themeColor="accent4" w:themeTint="9A" w:themeShade="95"/>
        <w:sz w:val="22"/>
      </w:rPr>
      <w:tcPr>
        <w:shd w:val="clear" w:color="ffffff" w:themeColor="accent4" w:themeTint="34" w:fill="e3f1d8" w:themeFill="accent4" w:themeFillTint="34"/>
      </w:tcPr>
    </w:tblStylePr>
    <w:tblStylePr w:type="band1Vert">
      <w:tcPr>
        <w:shd w:val="clear" w:color="ffffff" w:themeColor="accent4" w:themeTint="34" w:fill="e3f1d8" w:themeFill="accent4" w:themeFillTint="34"/>
      </w:tcPr>
    </w:tblStylePr>
    <w:tblStylePr w:type="band2Horz">
      <w:rPr>
        <w:rFonts w:ascii="Liberation Sans" w:hAnsi="Liberation Sans"/>
        <w:color w:val="61983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19835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19835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1c7067" w:themeColor="accent5" w:themeShade="95"/>
        <w:sz w:val="22"/>
      </w:rPr>
      <w:tcPr>
        <w:shd w:val="clear" w:color="ffffff" w:themeColor="accent5" w:themeTint="34" w:fill="d2f3f0" w:themeFill="accent5" w:themeFillTint="34"/>
      </w:tcPr>
    </w:tblStylePr>
    <w:tblStylePr w:type="band1Vert">
      <w:tcPr>
        <w:shd w:val="clear" w:color="ffffff" w:themeColor="accent5" w:themeTint="34" w:fill="d2f3f0" w:themeFill="accent5" w:themeFillTint="34"/>
      </w:tcPr>
    </w:tblStylePr>
    <w:tblStylePr w:type="band2Horz">
      <w:rPr>
        <w:rFonts w:ascii="Liberation Sans" w:hAnsi="Liberation Sans"/>
        <w:color w:val="1c7067" w:themeColor="accent5" w:themeShade="95"/>
        <w:sz w:val="22"/>
      </w:rPr>
    </w:tblStylePr>
    <w:tblStylePr w:type="firstCol">
      <w:rPr>
        <w:rFonts w:ascii="Liberation Sans" w:hAnsi="Liberation Sans"/>
        <w:i/>
        <w:color w:val="1c706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1c706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c706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c706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9b1626" w:themeColor="accent6" w:themeShade="95"/>
        <w:sz w:val="22"/>
      </w:rPr>
      <w:tcPr>
        <w:shd w:val="clear" w:color="ffffff" w:themeColor="accent6" w:themeTint="34" w:fill="f9dade" w:themeFill="accent6" w:themeFillTint="34"/>
      </w:tcPr>
    </w:tblStylePr>
    <w:tblStylePr w:type="band1Vert">
      <w:tcPr>
        <w:shd w:val="clear" w:color="ffffff" w:themeColor="accent6" w:themeTint="34" w:fill="f9dade" w:themeFill="accent6" w:themeFillTint="34"/>
      </w:tcPr>
    </w:tblStylePr>
    <w:tblStylePr w:type="band2Horz">
      <w:rPr>
        <w:rFonts w:ascii="Liberation Sans" w:hAnsi="Liberation Sans"/>
        <w:color w:val="9b1626" w:themeColor="accent6" w:themeShade="95"/>
        <w:sz w:val="22"/>
      </w:rPr>
    </w:tblStylePr>
    <w:tblStylePr w:type="firstCol">
      <w:rPr>
        <w:rFonts w:ascii="Liberation Sans" w:hAnsi="Liberation Sans"/>
        <w:i/>
        <w:color w:val="9b1626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9b1626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b1626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b1626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dd762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7bded3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f949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0dcf1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874c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f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e822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eeebd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f2ba02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ceec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75bd4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8f1ed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30c0b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8d1d6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e54c5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blStylePr w:type="band1Horz"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blStylePr w:type="band1Horz"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blStylePr w:type="band1Horz"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blStylePr w:type="band1Horz"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blStylePr w:type="band1Horz"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blStylePr w:type="band1Horz"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3427c" w:themeColor="accent1" w:themeShade="95"/>
      </w:rPr>
    </w:tblStylePr>
    <w:tblStylePr w:type="firstRow">
      <w:rPr>
        <w:b/>
        <w:color w:val="23427c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</w:tblStylePr>
    <w:tblStylePr w:type="lastRow">
      <w:rPr>
        <w:b/>
        <w:color w:val="23427c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85f11" w:themeColor="accent2" w:themeTint="97" w:themeShade="95"/>
      </w:rPr>
    </w:tblStylePr>
    <w:tblStylePr w:type="firstRow">
      <w:rPr>
        <w:b/>
        <w:color w:val="c85f11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</w:tblStylePr>
    <w:tblStylePr w:type="lastRow">
      <w:rPr>
        <w:b/>
        <w:color w:val="c85f11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c99802" w:themeColor="accent3" w:themeTint="98" w:themeShade="95"/>
      </w:rPr>
    </w:tblStylePr>
    <w:tblStylePr w:type="firstRow">
      <w:rPr>
        <w:b/>
        <w:color w:val="c99802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</w:tblStylePr>
    <w:tblStylePr w:type="lastRow">
      <w:rPr>
        <w:b/>
        <w:color w:val="c99802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19835" w:themeColor="accent4" w:themeTint="9A" w:themeShade="95"/>
      </w:rPr>
    </w:tblStylePr>
    <w:tblStylePr w:type="firstRow">
      <w:rPr>
        <w:b/>
        <w:color w:val="619835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</w:tblStylePr>
    <w:tblStylePr w:type="lastRow">
      <w:rPr>
        <w:b/>
        <w:color w:val="619835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8a191" w:themeColor="accent5" w:themeTint="9A" w:themeShade="95"/>
      </w:rPr>
    </w:tblStylePr>
    <w:tblStylePr w:type="firstRow">
      <w:rPr>
        <w:b/>
        <w:color w:val="28a19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</w:tblStylePr>
    <w:tblStylePr w:type="lastRow">
      <w:rPr>
        <w:b/>
        <w:color w:val="28a19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c41d35" w:themeColor="accent6" w:themeTint="98" w:themeShade="95"/>
      </w:rPr>
    </w:tblStylePr>
    <w:tblStylePr w:type="firstRow">
      <w:rPr>
        <w:b/>
        <w:color w:val="c41d35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</w:tblStylePr>
    <w:tblStylePr w:type="lastRow">
      <w:rPr>
        <w:b/>
        <w:color w:val="c41d35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3427c" w:themeColor="accent1" w:themeShade="95"/>
        <w:sz w:val="22"/>
      </w:rPr>
      <w:tcPr>
        <w:shd w:val="clear" w:color="ffffff" w:themeColor="accent1" w:themeTint="40" w:fill="d0dcf1" w:themeFill="accent1" w:themeFillTint="40"/>
      </w:tcPr>
    </w:tblStylePr>
    <w:tblStylePr w:type="band1Vert">
      <w:tcPr>
        <w:shd w:val="clear" w:color="ffffff" w:themeColor="accent1" w:themeTint="40" w:fill="d0dcf1" w:themeFill="accent1" w:themeFillTint="40"/>
      </w:tcPr>
    </w:tblStylePr>
    <w:tblStylePr w:type="band2Horz">
      <w:rPr>
        <w:rFonts w:ascii="Liberation Sans" w:hAnsi="Liberation Sans"/>
        <w:color w:val="23427c" w:themeColor="accent1" w:themeShade="95"/>
        <w:sz w:val="22"/>
      </w:rPr>
    </w:tblStylePr>
    <w:tblStylePr w:type="firstCol">
      <w:rPr>
        <w:rFonts w:ascii="Liberation Sans" w:hAnsi="Liberation Sans"/>
        <w:i/>
        <w:color w:val="23427c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3427c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3427c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3427c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3427c" w:themeColor="accent1" w:themeShade="95"/>
        <w:sz w:val="22"/>
      </w:rPr>
    </w:tblStylePr>
  </w:style>
  <w:style w:type="table" w:styleId="149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85f11" w:themeColor="accent2" w:themeTint="97" w:themeShade="95"/>
        <w:sz w:val="22"/>
      </w:rPr>
      <w:tcPr>
        <w:shd w:val="clear" w:color="ffffff" w:themeColor="accent2" w:themeTint="40" w:fill="fadfcb" w:themeFill="accent2" w:themeFillTint="40"/>
      </w:tcPr>
    </w:tblStylePr>
    <w:tblStylePr w:type="band1Vert">
      <w:tcPr>
        <w:shd w:val="clear" w:color="ffffff" w:themeColor="accent2" w:themeTint="40" w:fill="fadfcb" w:themeFill="accent2" w:themeFillTint="40"/>
      </w:tcPr>
    </w:tblStylePr>
    <w:tblStylePr w:type="band2Horz">
      <w:rPr>
        <w:rFonts w:ascii="Liberation Sans" w:hAnsi="Liberation Sans"/>
        <w:color w:val="c85f11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85f11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85f11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85f11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85f11" w:themeColor="accent2" w:themeTint="97" w:themeShade="95"/>
        <w:sz w:val="22"/>
      </w:rPr>
    </w:tblStylePr>
  </w:style>
  <w:style w:type="table" w:styleId="150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c99802" w:themeColor="accent3" w:themeTint="98" w:themeShade="95"/>
        <w:sz w:val="22"/>
      </w:rPr>
      <w:tcPr>
        <w:shd w:val="clear" w:color="ffffff" w:themeColor="accent3" w:themeTint="40" w:fill="feeebd" w:themeFill="accent3" w:themeFillTint="40"/>
      </w:tcPr>
    </w:tblStylePr>
    <w:tblStylePr w:type="band1Vert">
      <w:tcPr>
        <w:shd w:val="clear" w:color="ffffff" w:themeColor="accent3" w:themeTint="40" w:fill="feeebd" w:themeFill="accent3" w:themeFillTint="40"/>
      </w:tcPr>
    </w:tblStylePr>
    <w:tblStylePr w:type="band2Horz">
      <w:rPr>
        <w:rFonts w:ascii="Liberation Sans" w:hAnsi="Liberation Sans"/>
        <w:color w:val="c99802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9802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9802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9802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9802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9802" w:themeColor="accent3" w:themeTint="98" w:themeShade="95"/>
        <w:sz w:val="22"/>
      </w:rPr>
    </w:tblStylePr>
  </w:style>
  <w:style w:type="table" w:styleId="151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19835" w:themeColor="accent4" w:themeTint="9A" w:themeShade="95"/>
        <w:sz w:val="22"/>
      </w:rPr>
      <w:tcPr>
        <w:shd w:val="clear" w:color="ffffff" w:themeColor="accent4" w:themeTint="40" w:fill="dceecf" w:themeFill="accent4" w:themeFillTint="40"/>
      </w:tcPr>
    </w:tblStylePr>
    <w:tblStylePr w:type="band1Vert">
      <w:tcPr>
        <w:shd w:val="clear" w:color="ffffff" w:themeColor="accent4" w:themeTint="40" w:fill="dceecf" w:themeFill="accent4" w:themeFillTint="40"/>
      </w:tcPr>
    </w:tblStylePr>
    <w:tblStylePr w:type="band2Horz">
      <w:rPr>
        <w:rFonts w:ascii="Liberation Sans" w:hAnsi="Liberation Sans"/>
        <w:color w:val="61983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19835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19835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1983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19835" w:themeColor="accent4" w:themeTint="9A" w:themeShade="95"/>
        <w:sz w:val="22"/>
      </w:rPr>
    </w:tblStylePr>
  </w:style>
  <w:style w:type="table" w:styleId="152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8a191" w:themeColor="accent5" w:themeTint="9A" w:themeShade="95"/>
        <w:sz w:val="22"/>
      </w:rPr>
      <w:tcPr>
        <w:shd w:val="clear" w:color="ffffff" w:themeColor="accent5" w:themeTint="40" w:fill="c8f1ed" w:themeFill="accent5" w:themeFillTint="40"/>
      </w:tcPr>
    </w:tblStylePr>
    <w:tblStylePr w:type="band1Vert">
      <w:tcPr>
        <w:shd w:val="clear" w:color="ffffff" w:themeColor="accent5" w:themeTint="40" w:fill="c8f1ed" w:themeFill="accent5" w:themeFillTint="40"/>
      </w:tcPr>
    </w:tblStylePr>
    <w:tblStylePr w:type="band2Horz">
      <w:rPr>
        <w:rFonts w:ascii="Liberation Sans" w:hAnsi="Liberation Sans"/>
        <w:color w:val="28a19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8a19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8a19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8a19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8a19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8a191" w:themeColor="accent5" w:themeTint="9A" w:themeShade="95"/>
        <w:sz w:val="22"/>
      </w:rPr>
    </w:tblStylePr>
  </w:style>
  <w:style w:type="table" w:styleId="153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c41d35" w:themeColor="accent6" w:themeTint="98" w:themeShade="95"/>
        <w:sz w:val="22"/>
      </w:rPr>
      <w:tcPr>
        <w:shd w:val="clear" w:color="ffffff" w:themeColor="accent6" w:themeTint="40" w:fill="f8d1d6" w:themeFill="accent6" w:themeFillTint="40"/>
      </w:tcPr>
    </w:tblStylePr>
    <w:tblStylePr w:type="band1Vert">
      <w:tcPr>
        <w:shd w:val="clear" w:color="ffffff" w:themeColor="accent6" w:themeTint="40" w:fill="f8d1d6" w:themeFill="accent6" w:themeFillTint="40"/>
      </w:tcPr>
    </w:tblStylePr>
    <w:tblStylePr w:type="band2Horz">
      <w:rPr>
        <w:rFonts w:ascii="Liberation Sans" w:hAnsi="Liberation Sans"/>
        <w:color w:val="c41d35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c41d35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c41d35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41d35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41d35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41d35" w:themeColor="accent6" w:themeTint="98" w:themeShade="95"/>
        <w:sz w:val="22"/>
      </w:rPr>
    </w:tblStylePr>
  </w:style>
  <w:style w:type="table" w:styleId="154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</w:style>
  <w:style w:type="table" w:styleId="156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</w:style>
  <w:style w:type="table" w:styleId="157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</w:style>
  <w:style w:type="table" w:styleId="158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</w:style>
  <w:style w:type="table" w:styleId="159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</w:style>
  <w:style w:type="table" w:styleId="160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</w:style>
  <w:style w:type="table" w:styleId="161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5d3ee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681cf" w:themeFill="accent1" w:themeFillTint="EA"/>
      </w:tcPr>
    </w:tblStylePr>
  </w:style>
  <w:style w:type="table" w:styleId="163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6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383" w:themeFill="accent2" w:themeFillTint="97"/>
      </w:tcPr>
    </w:tblStylePr>
  </w:style>
  <w:style w:type="table" w:styleId="164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ef1c9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f3b802" w:themeFill="accent3" w:themeFillTint="FE"/>
      </w:tcPr>
    </w:tblStylePr>
  </w:style>
  <w:style w:type="table" w:styleId="165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3f1d8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acd78c" w:themeFill="accent4" w:themeFillTint="9A"/>
      </w:tcPr>
    </w:tblStylePr>
  </w:style>
  <w:style w:type="table" w:styleId="166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2f3f0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30c0b4" w:themeFill="accent5"/>
      </w:tcPr>
    </w:tblStylePr>
  </w:style>
  <w:style w:type="table" w:styleId="167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9dade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e54c5e" w:themeFill="accent6"/>
      </w:tcPr>
    </w:tblStylePr>
  </w:style>
  <w:style w:type="table" w:styleId="168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4"/>
    <w:uiPriority w:val="99"/>
    <w:unhideWhenUsed/>
    <w:rPr>
      <w:vertAlign w:val="superscript"/>
    </w:rPr>
  </w:style>
  <w:style w:type="paragraph" w:styleId="179">
    <w:name w:val="endnote text"/>
    <w:basedOn w:val="62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4"/>
    <w:uiPriority w:val="99"/>
    <w:semiHidden/>
    <w:unhideWhenUsed/>
    <w:rPr>
      <w:vertAlign w:val="superscript"/>
    </w:rPr>
  </w:style>
  <w:style w:type="paragraph" w:styleId="182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uiPriority w:val="0"/>
    <w:qFormat/>
    <w:rPr>
      <w:rFonts w:asciiTheme="minorHAnsi" w:hAnsiTheme="minorHAnsi" w:eastAsiaTheme="minorEastAsia" w:cstheme="minorBidi"/>
      <w:lang w:val="en-US" w:eastAsia="zh-CN" w:bidi="ar-SA"/>
    </w:rPr>
  </w:style>
  <w:style w:type="character" w:styleId="624" w:default="1">
    <w:name w:val="Default Paragraph Font"/>
    <w:uiPriority w:val="0"/>
    <w:semiHidden/>
    <w:qFormat/>
  </w:style>
  <w:style w:type="table" w:styleId="625" w:default="1">
    <w:name w:val="Normal Table"/>
    <w:uiPriority w:val="0"/>
    <w:semiHidden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26">
    <w:name w:val="Hyperlink"/>
    <w:basedOn w:val="624"/>
    <w:uiPriority w:val="0"/>
    <w:qFormat/>
    <w:rPr>
      <w:color w:val="0000ff"/>
      <w:u w:val="single"/>
    </w:rPr>
  </w:style>
  <w:style w:type="character" w:styleId="627">
    <w:name w:val="Strong"/>
    <w:basedOn w:val="624"/>
    <w:uiPriority w:val="0"/>
    <w:qFormat/>
    <w:rPr>
      <w:b/>
      <w:bCs/>
    </w:rPr>
  </w:style>
  <w:style w:type="numbering" w:styleId="68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Современная школа</dc:creator>
  <cp:lastModifiedBy>Пользователь</cp:lastModifiedBy>
  <cp:revision>1</cp:revision>
  <dcterms:created xsi:type="dcterms:W3CDTF">2026-08-07T05:53:00Z</dcterms:created>
  <dcterms:modified xsi:type="dcterms:W3CDTF">2026-08-10T02:48:48Z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eyJoZGlkIjoiZmUwMzBhMzg3MTNmMDk5MzQ1OThhZGZiZTNjZjBhYjMiLCJ1c2VySWQiOiI4MjQ2MzUyNzMwMDQifQ==</vt:lpwstr>
  </property>
  <property fmtid="{D5CDD505-2E9C-101B-9397-08002B2CF9AE}" pid="4" name="ICV">
    <vt:lpwstr>C9AEA51AC146410493AECBE670D9637E_12</vt:lpwstr>
  </property>
</Properties>
</file>