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6"/>
        <w:ind w:right="-24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МУНИЦИПАЛЬНОЕ КАЗЁННОЕ УЧРЕЖДЕНИЕ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86"/>
        <w:ind w:right="-245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«УПРАВЛЕНИЕ ОБРАЗОВАНИЯ»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ind w:right="-245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ind w:right="-24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6"/>
        <w:ind w:right="-245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 Р И К А З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ind w:right="-24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333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90"/>
        <w:gridCol w:w="3270"/>
        <w:gridCol w:w="2973"/>
      </w:tblGrid>
      <w:tr>
        <w:tblPrEx/>
        <w:trPr>
          <w:trHeight w:val="668"/>
        </w:trPr>
        <w:tc>
          <w:tcPr>
            <w:tcW w:w="3090" w:type="dxa"/>
            <w:textDirection w:val="lrTb"/>
            <w:noWrap w:val="false"/>
          </w:tcPr>
          <w:p>
            <w:pPr>
              <w:pStyle w:val="786"/>
              <w:ind w:left="-113" w:right="0" w:firstLine="0"/>
              <w:jc w:val="left"/>
              <w:spacing w:before="0" w:after="0"/>
              <w:widowControl w:val="off"/>
              <w:rPr>
                <w:sz w:val="28"/>
                <w:szCs w:val="28"/>
                <w:highlight w:val="white"/>
                <w:shd w:val="clear" w:color="auto" w:fill="auto"/>
              </w:rPr>
            </w:pPr>
            <w:r>
              <w:rPr>
                <w:sz w:val="28"/>
                <w:szCs w:val="28"/>
                <w:highlight w:val="none"/>
                <w:shd w:val="clear" w:color="auto" w:fill="auto"/>
                <w:lang w:val="ru-RU"/>
              </w:rPr>
              <w:t xml:space="preserve">27 января 2025</w:t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  <w:t xml:space="preserve"> г.</w:t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pStyle w:val="786"/>
              <w:jc w:val="center"/>
              <w:widowControl w:val="off"/>
              <w:rPr>
                <w:sz w:val="28"/>
                <w:szCs w:val="28"/>
                <w:highlight w:val="white"/>
                <w:shd w:val="clear" w:color="auto" w:fill="auto"/>
              </w:rPr>
            </w:pPr>
            <w:r>
              <w:rPr>
                <w:sz w:val="28"/>
                <w:szCs w:val="28"/>
                <w:highlight w:val="white"/>
                <w:shd w:val="clear" w:color="auto" w:fill="auto"/>
              </w:rPr>
              <w:t xml:space="preserve">г. Дальнереченск</w:t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</w:p>
        </w:tc>
        <w:tc>
          <w:tcPr>
            <w:tcW w:w="2973" w:type="dxa"/>
            <w:textDirection w:val="lrTb"/>
            <w:noWrap w:val="false"/>
          </w:tcPr>
          <w:p>
            <w:pPr>
              <w:pStyle w:val="786"/>
              <w:widowControl w:val="off"/>
              <w:rPr>
                <w:sz w:val="28"/>
                <w:szCs w:val="28"/>
                <w:highlight w:val="white"/>
                <w:shd w:val="clear" w:color="auto" w:fill="auto"/>
              </w:rPr>
            </w:pPr>
            <w:r>
              <w:rPr>
                <w:sz w:val="28"/>
                <w:szCs w:val="28"/>
                <w:highlight w:val="white"/>
                <w:shd w:val="clear" w:color="auto" w:fill="auto"/>
              </w:rPr>
              <w:t xml:space="preserve">                          № </w:t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  <w:t xml:space="preserve">4-А</w:t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</w:p>
          <w:p>
            <w:pPr>
              <w:pStyle w:val="786"/>
              <w:widowControl w:val="off"/>
              <w:rPr>
                <w:sz w:val="28"/>
                <w:szCs w:val="28"/>
                <w:highlight w:val="white"/>
                <w:shd w:val="clear" w:color="auto" w:fill="auto"/>
              </w:rPr>
            </w:pP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  <w:r>
              <w:rPr>
                <w:sz w:val="28"/>
                <w:szCs w:val="28"/>
                <w:highlight w:val="white"/>
                <w:shd w:val="clear" w:color="auto" w:fill="auto"/>
              </w:rPr>
            </w:r>
          </w:p>
        </w:tc>
      </w:tr>
    </w:tbl>
    <w:p>
      <w:pPr>
        <w:pStyle w:val="786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п.4 О реализации комплексного плана мероприятий по повышению качества математического и естественно-научного образования в Дальнереченском городском округе  в 2025 году и на период до 2030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shd w:val="clear" w:color="auto" w:fill="auto"/>
        </w:rPr>
        <w:t xml:space="preserve">        Во </w:t>
      </w:r>
      <w:r>
        <w:rPr>
          <w:sz w:val="28"/>
          <w:szCs w:val="28"/>
          <w:shd w:val="clear" w:color="auto" w:fill="auto"/>
        </w:rPr>
        <w:t xml:space="preserve">исполнение распоряжения Правительства Российской Федерации от 19 ноября 2024 года № 3333-р «Об утверждении комплексного плана мероприятий по повышению качества математического и естественно-научного образования на период до 2030 года»</w:t>
      </w:r>
      <w:r>
        <w:rPr>
          <w:sz w:val="28"/>
          <w:szCs w:val="28"/>
        </w:rPr>
        <w:t xml:space="preserve">, приказа Министерства образования Приморского края от 21.01.2025 года № 23а-48 «О реализации регионального </w:t>
      </w:r>
      <w:r>
        <w:rPr>
          <w:sz w:val="28"/>
          <w:szCs w:val="28"/>
        </w:rPr>
        <w:t xml:space="preserve">комплексного плана мероприятий по повышению качества математического и естественно-научного образования в Приморском крае  в 2025 году и на период до 2030 года</w:t>
      </w:r>
      <w:r>
        <w:rPr>
          <w:sz w:val="28"/>
          <w:szCs w:val="28"/>
        </w:rPr>
        <w:t xml:space="preserve">», с целью повышения качества математического и естественно-научного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86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Утвердить план мероприятий </w:t>
      </w:r>
      <w:r>
        <w:rPr>
          <w:sz w:val="28"/>
          <w:szCs w:val="28"/>
        </w:rPr>
        <w:t xml:space="preserve">по повышению качества математического и естественно-научного образования в Дальнереченском городском округе  в 2025 году и на период до 2030 года (Приложение 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2. Руководителям общеобразовательных учреждений Дальнереченского городского округа обеспечить реализацию мероприятий плана и руководствоваться планом при разработке мероприятий по повышению качества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математического и естественно-научного образования.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ind w:left="0"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</w:rPr>
        <w:t xml:space="preserve">. Контроль исполнения настоящего приказа возложить на </w:t>
      </w:r>
      <w:r>
        <w:rPr>
          <w:sz w:val="28"/>
          <w:szCs w:val="28"/>
        </w:rPr>
        <w:t xml:space="preserve">заместителя начальника</w:t>
      </w:r>
      <w:r>
        <w:rPr>
          <w:sz w:val="28"/>
          <w:szCs w:val="28"/>
        </w:rPr>
        <w:t xml:space="preserve"> Кондратьеву В.В.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МКУ</w:t>
      </w:r>
      <w:r>
        <w:rPr>
          <w:sz w:val="28"/>
          <w:szCs w:val="28"/>
        </w:rPr>
        <w:t xml:space="preserve"> «Управление образования»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6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Дальнереченского городского округа                                               Н.Н. Шитько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NSimSun">
    <w:panose1 w:val="02010609030101010101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6" w:default="1">
    <w:name w:val="Normal"/>
    <w:qFormat/>
    <w:pPr>
      <w:jc w:val="left"/>
      <w:spacing w:before="0" w:after="0"/>
      <w:widowControl/>
    </w:pPr>
    <w:rPr>
      <w:rFonts w:ascii="Times New Roman" w:hAnsi="Times New Roman" w:eastAsia="NSimSun" w:cs="Arial"/>
      <w:color w:val="000000"/>
      <w:sz w:val="28"/>
      <w:szCs w:val="28"/>
      <w:lang w:val="ru-RU" w:eastAsia="ru-RU" w:bidi="ar-SA"/>
    </w:rPr>
  </w:style>
  <w:style w:type="paragraph" w:styleId="787">
    <w:name w:val="Heading 1"/>
    <w:basedOn w:val="7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8">
    <w:name w:val="Heading 2"/>
    <w:basedOn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9">
    <w:name w:val="Heading 3"/>
    <w:basedOn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0">
    <w:name w:val="Heading 4"/>
    <w:basedOn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7">
    <w:name w:val="Heading 2 Char"/>
    <w:uiPriority w:val="9"/>
    <w:qFormat/>
    <w:rPr>
      <w:rFonts w:ascii="Arial" w:hAnsi="Arial" w:eastAsia="Arial" w:cs="Arial"/>
      <w:sz w:val="34"/>
    </w:rPr>
  </w:style>
  <w:style w:type="character" w:styleId="79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5">
    <w:name w:val="Title Char"/>
    <w:uiPriority w:val="10"/>
    <w:qFormat/>
    <w:rPr>
      <w:sz w:val="48"/>
      <w:szCs w:val="48"/>
    </w:rPr>
  </w:style>
  <w:style w:type="character" w:styleId="806">
    <w:name w:val="Subtitle Char"/>
    <w:uiPriority w:val="11"/>
    <w:qFormat/>
    <w:rPr>
      <w:sz w:val="24"/>
      <w:szCs w:val="24"/>
    </w:rPr>
  </w:style>
  <w:style w:type="character" w:styleId="807">
    <w:name w:val="Quote Char"/>
    <w:uiPriority w:val="29"/>
    <w:qFormat/>
    <w:rPr>
      <w:i/>
    </w:rPr>
  </w:style>
  <w:style w:type="character" w:styleId="808">
    <w:name w:val="Intense Quote Char"/>
    <w:uiPriority w:val="30"/>
    <w:qFormat/>
    <w:rPr>
      <w:i/>
    </w:rPr>
  </w:style>
  <w:style w:type="character" w:styleId="809">
    <w:name w:val="Header Char"/>
    <w:uiPriority w:val="99"/>
    <w:qFormat/>
  </w:style>
  <w:style w:type="character" w:styleId="810">
    <w:name w:val="Footer Char"/>
    <w:uiPriority w:val="99"/>
    <w:qFormat/>
  </w:style>
  <w:style w:type="character" w:styleId="811">
    <w:name w:val="Caption Char"/>
    <w:uiPriority w:val="99"/>
    <w:qFormat/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character" w:styleId="813">
    <w:name w:val="Footnote Text Char"/>
    <w:uiPriority w:val="99"/>
    <w:qFormat/>
    <w:rPr>
      <w:sz w:val="18"/>
    </w:rPr>
  </w:style>
  <w:style w:type="character" w:styleId="814">
    <w:name w:val="footnote reference"/>
    <w:rPr>
      <w:vertAlign w:val="superscript"/>
    </w:rPr>
  </w:style>
  <w:style w:type="character" w:styleId="815">
    <w:name w:val="Footnote Characters"/>
    <w:uiPriority w:val="99"/>
    <w:unhideWhenUsed/>
    <w:qFormat/>
    <w:rPr>
      <w:vertAlign w:val="superscript"/>
    </w:rPr>
  </w:style>
  <w:style w:type="character" w:styleId="816">
    <w:name w:val="Endnote Text Char"/>
    <w:uiPriority w:val="99"/>
    <w:qFormat/>
    <w:rPr>
      <w:sz w:val="20"/>
    </w:rPr>
  </w:style>
  <w:style w:type="character" w:styleId="817">
    <w:name w:val="endnote reference"/>
    <w:rPr>
      <w:vertAlign w:val="superscript"/>
    </w:rPr>
  </w:style>
  <w:style w:type="character" w:styleId="818">
    <w:name w:val="Endnote Characters"/>
    <w:uiPriority w:val="99"/>
    <w:semiHidden/>
    <w:unhideWhenUsed/>
    <w:qFormat/>
    <w:rPr>
      <w:vertAlign w:val="superscript"/>
    </w:rPr>
  </w:style>
  <w:style w:type="character" w:styleId="819">
    <w:name w:val="Основной шрифт абзаца"/>
    <w:semiHidden/>
    <w:qFormat/>
  </w:style>
  <w:style w:type="character" w:styleId="820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character" w:styleId="821" w:default="1">
    <w:name w:val="Default Paragraph Font"/>
    <w:uiPriority w:val="1"/>
    <w:semiHidden/>
    <w:unhideWhenUsed/>
    <w:qFormat/>
  </w:style>
  <w:style w:type="paragraph" w:styleId="822">
    <w:name w:val="Заголовок"/>
    <w:basedOn w:val="786"/>
    <w:next w:val="82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23">
    <w:name w:val="Body Text"/>
    <w:basedOn w:val="786"/>
    <w:pPr>
      <w:spacing w:before="0"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6">
    <w:name w:val="Указатель"/>
    <w:basedOn w:val="786"/>
    <w:qFormat/>
    <w:pPr>
      <w:suppressLineNumbers/>
    </w:pPr>
    <w:rPr>
      <w:rFonts w:cs="Arial"/>
    </w:rPr>
  </w:style>
  <w:style w:type="paragraph" w:styleId="827">
    <w:name w:val="List Paragraph"/>
    <w:basedOn w:val="786"/>
    <w:uiPriority w:val="34"/>
    <w:qFormat/>
    <w:pPr>
      <w:contextualSpacing/>
      <w:ind w:left="720" w:firstLine="0"/>
      <w:spacing w:before="0" w:after="0"/>
    </w:pPr>
  </w:style>
  <w:style w:type="paragraph" w:styleId="82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Arial"/>
      <w:color w:val="auto"/>
      <w:sz w:val="20"/>
      <w:szCs w:val="20"/>
      <w:lang w:val="ru-RU" w:eastAsia="zh-CN" w:bidi="ar-SA"/>
    </w:rPr>
  </w:style>
  <w:style w:type="paragraph" w:styleId="829">
    <w:name w:val="Title"/>
    <w:basedOn w:val="7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0">
    <w:name w:val="Subtitle"/>
    <w:basedOn w:val="786"/>
    <w:uiPriority w:val="11"/>
    <w:qFormat/>
    <w:pPr>
      <w:spacing w:before="200" w:after="200"/>
    </w:pPr>
    <w:rPr>
      <w:sz w:val="24"/>
      <w:szCs w:val="24"/>
    </w:rPr>
  </w:style>
  <w:style w:type="paragraph" w:styleId="831">
    <w:name w:val="Quote"/>
    <w:basedOn w:val="786"/>
    <w:uiPriority w:val="29"/>
    <w:qFormat/>
    <w:pPr>
      <w:ind w:left="720" w:right="720" w:firstLine="0"/>
    </w:pPr>
    <w:rPr>
      <w:i/>
    </w:rPr>
  </w:style>
  <w:style w:type="paragraph" w:styleId="832">
    <w:name w:val="Intense Quote"/>
    <w:basedOn w:val="78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3">
    <w:name w:val="Колонтитул"/>
    <w:basedOn w:val="786"/>
    <w:qFormat/>
  </w:style>
  <w:style w:type="paragraph" w:styleId="834">
    <w:name w:val="Header"/>
    <w:basedOn w:val="78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5">
    <w:name w:val="Footer"/>
    <w:basedOn w:val="78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6">
    <w:name w:val="footnote text"/>
    <w:basedOn w:val="78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7">
    <w:name w:val="endnote text"/>
    <w:basedOn w:val="78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8">
    <w:name w:val="toc 1"/>
    <w:basedOn w:val="786"/>
    <w:uiPriority w:val="39"/>
    <w:unhideWhenUsed/>
    <w:pPr>
      <w:ind w:left="0" w:right="0" w:firstLine="0"/>
      <w:spacing w:before="0" w:after="57"/>
    </w:pPr>
  </w:style>
  <w:style w:type="paragraph" w:styleId="839">
    <w:name w:val="toc 2"/>
    <w:basedOn w:val="786"/>
    <w:uiPriority w:val="39"/>
    <w:unhideWhenUsed/>
    <w:pPr>
      <w:ind w:left="283" w:right="0" w:firstLine="0"/>
      <w:spacing w:before="0" w:after="57"/>
    </w:pPr>
  </w:style>
  <w:style w:type="paragraph" w:styleId="840">
    <w:name w:val="toc 3"/>
    <w:basedOn w:val="786"/>
    <w:uiPriority w:val="39"/>
    <w:unhideWhenUsed/>
    <w:pPr>
      <w:ind w:left="567" w:right="0" w:firstLine="0"/>
      <w:spacing w:before="0" w:after="57"/>
    </w:pPr>
  </w:style>
  <w:style w:type="paragraph" w:styleId="841">
    <w:name w:val="toc 4"/>
    <w:basedOn w:val="786"/>
    <w:uiPriority w:val="39"/>
    <w:unhideWhenUsed/>
    <w:pPr>
      <w:ind w:left="850" w:right="0" w:firstLine="0"/>
      <w:spacing w:before="0" w:after="57"/>
    </w:pPr>
  </w:style>
  <w:style w:type="paragraph" w:styleId="842">
    <w:name w:val="toc 5"/>
    <w:basedOn w:val="786"/>
    <w:uiPriority w:val="39"/>
    <w:unhideWhenUsed/>
    <w:pPr>
      <w:ind w:left="1134" w:right="0" w:firstLine="0"/>
      <w:spacing w:before="0" w:after="57"/>
    </w:pPr>
  </w:style>
  <w:style w:type="paragraph" w:styleId="843">
    <w:name w:val="toc 6"/>
    <w:basedOn w:val="786"/>
    <w:uiPriority w:val="39"/>
    <w:unhideWhenUsed/>
    <w:pPr>
      <w:ind w:left="1417" w:right="0" w:firstLine="0"/>
      <w:spacing w:before="0" w:after="57"/>
    </w:pPr>
  </w:style>
  <w:style w:type="paragraph" w:styleId="844">
    <w:name w:val="toc 7"/>
    <w:basedOn w:val="786"/>
    <w:uiPriority w:val="39"/>
    <w:unhideWhenUsed/>
    <w:pPr>
      <w:ind w:left="1701" w:right="0" w:firstLine="0"/>
      <w:spacing w:before="0" w:after="57"/>
    </w:pPr>
  </w:style>
  <w:style w:type="paragraph" w:styleId="845">
    <w:name w:val="toc 8"/>
    <w:basedOn w:val="786"/>
    <w:uiPriority w:val="39"/>
    <w:unhideWhenUsed/>
    <w:pPr>
      <w:ind w:left="1984" w:right="0" w:firstLine="0"/>
      <w:spacing w:before="0" w:after="57"/>
    </w:pPr>
  </w:style>
  <w:style w:type="paragraph" w:styleId="846">
    <w:name w:val="toc 9"/>
    <w:basedOn w:val="786"/>
    <w:uiPriority w:val="39"/>
    <w:unhideWhenUsed/>
    <w:pPr>
      <w:ind w:left="2268" w:right="0" w:firstLine="0"/>
      <w:spacing w:before="0" w:after="57"/>
    </w:pPr>
  </w:style>
  <w:style w:type="paragraph" w:styleId="847">
    <w:name w:val="Index Heading"/>
    <w:basedOn w:val="822"/>
  </w:style>
  <w:style w:type="paragraph" w:styleId="848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Arial"/>
      <w:color w:val="auto"/>
      <w:sz w:val="20"/>
      <w:szCs w:val="20"/>
      <w:lang w:val="ru-RU" w:eastAsia="zh-CN" w:bidi="ar-SA"/>
    </w:rPr>
  </w:style>
  <w:style w:type="paragraph" w:styleId="849">
    <w:name w:val="table of figures"/>
    <w:basedOn w:val="786"/>
    <w:uiPriority w:val="99"/>
    <w:unhideWhenUsed/>
    <w:qFormat/>
    <w:pPr>
      <w:spacing w:before="0" w:after="0" w:afterAutospacing="0"/>
    </w:pPr>
  </w:style>
  <w:style w:type="paragraph" w:styleId="850">
    <w:name w:val="Текст выноски"/>
    <w:basedOn w:val="786"/>
    <w:qFormat/>
    <w:rPr>
      <w:rFonts w:ascii="Tahoma" w:hAnsi="Tahoma" w:cs="Tahoma"/>
      <w:sz w:val="16"/>
      <w:szCs w:val="16"/>
    </w:rPr>
  </w:style>
  <w:style w:type="numbering" w:styleId="851">
    <w:name w:val="Нет списка"/>
    <w:semiHidden/>
    <w:qFormat/>
  </w:style>
  <w:style w:type="numbering" w:styleId="852" w:default="1">
    <w:name w:val="No List"/>
    <w:uiPriority w:val="99"/>
    <w:semiHidden/>
    <w:unhideWhenUsed/>
    <w:qFormat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dc:description/>
  <dc:language>ru-RU</dc:language>
  <cp:revision>12</cp:revision>
  <dcterms:created xsi:type="dcterms:W3CDTF">2022-01-19T01:41:00Z</dcterms:created>
  <dcterms:modified xsi:type="dcterms:W3CDTF">2025-02-13T02:34:57Z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